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D8718" w14:textId="6110513C" w:rsidR="004148BC" w:rsidRPr="007C0044" w:rsidRDefault="009A4947" w:rsidP="009A4947">
      <w:pPr>
        <w:jc w:val="center"/>
        <w:rPr>
          <w:rFonts w:ascii="华文仿宋" w:eastAsia="华文仿宋" w:hAnsi="华文仿宋"/>
          <w:sz w:val="32"/>
          <w:szCs w:val="32"/>
        </w:rPr>
      </w:pPr>
      <w:bookmarkStart w:id="0" w:name="OLE_LINK1"/>
      <w:bookmarkStart w:id="1" w:name="_GoBack"/>
      <w:r w:rsidRPr="007C0044">
        <w:rPr>
          <w:rFonts w:ascii="华文仿宋" w:eastAsia="华文仿宋" w:hAnsi="华文仿宋" w:hint="eastAsia"/>
          <w:sz w:val="32"/>
          <w:szCs w:val="32"/>
        </w:rPr>
        <w:t>行业监管部门操作手册</w:t>
      </w:r>
    </w:p>
    <w:p w14:paraId="4A0966A7" w14:textId="247A608E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一、代理诚信得分系统</w:t>
      </w:r>
    </w:p>
    <w:p w14:paraId="5D965D72" w14:textId="32E51F77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点击进入【主体管理】--【主体信息管理】--【招标代理管理】</w:t>
      </w:r>
    </w:p>
    <w:p w14:paraId="3AB705D7" w14:textId="5A63D30D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7B6FC2F3" wp14:editId="2E1AEF87">
            <wp:extent cx="5274310" cy="22479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6185" b="15606"/>
                    <a:stretch/>
                  </pic:blipFill>
                  <pic:spPr bwMode="auto">
                    <a:xfrm>
                      <a:off x="0" y="0"/>
                      <a:ext cx="5274310" cy="2247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A47EBA" w14:textId="1E641BD4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选择已经“审核通过”的单位，点击【操作】按钮进入诚信库页面</w:t>
      </w:r>
    </w:p>
    <w:p w14:paraId="018C59C7" w14:textId="507B782A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1EF4C080" wp14:editId="2C77DFBC">
            <wp:extent cx="5274310" cy="220853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DBED2" w14:textId="09EDC0DF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点击【诚信得分】模块</w:t>
      </w:r>
    </w:p>
    <w:p w14:paraId="590347E1" w14:textId="010CF02D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lastRenderedPageBreak/>
        <w:drawing>
          <wp:inline distT="0" distB="0" distL="0" distR="0" wp14:anchorId="50927AF7" wp14:editId="531E67A8">
            <wp:extent cx="5274310" cy="180784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61796"/>
                    <a:stretch/>
                  </pic:blipFill>
                  <pic:spPr bwMode="auto">
                    <a:xfrm>
                      <a:off x="0" y="0"/>
                      <a:ext cx="5274310" cy="1807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66948F" w14:textId="5AF37909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点击【新增记录】</w:t>
      </w:r>
    </w:p>
    <w:p w14:paraId="0B3FA8A8" w14:textId="497741E2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6D50D3C2" wp14:editId="250E8BAE">
            <wp:extent cx="5274310" cy="1370965"/>
            <wp:effectExtent l="0" t="0" r="25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FE82A" w14:textId="0B3A44CA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录入标题、具体原因，并选择加分、减分项及具体分数，完成后点击确认按钮完成操作</w:t>
      </w:r>
    </w:p>
    <w:p w14:paraId="0CB126A6" w14:textId="556DAF55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44D37684" wp14:editId="281FE1B8">
            <wp:extent cx="5274310" cy="30867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C2153" w14:textId="4FBD5799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点击列表进入扣分记录明细</w:t>
      </w:r>
    </w:p>
    <w:p w14:paraId="2DD677A1" w14:textId="3F0C16BC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lastRenderedPageBreak/>
        <w:drawing>
          <wp:inline distT="0" distB="0" distL="0" distR="0" wp14:anchorId="22E191E0" wp14:editId="028B8F7B">
            <wp:extent cx="5274310" cy="14865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0F4DA" w14:textId="585295E0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显示具体扣分内容及操作记录</w:t>
      </w:r>
    </w:p>
    <w:p w14:paraId="734C9820" w14:textId="54466718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530A302B" wp14:editId="1C6B1D0E">
            <wp:extent cx="5274310" cy="351409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DE8B9" w14:textId="6EA8136C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</w:p>
    <w:p w14:paraId="40FE0774" w14:textId="26BB8647" w:rsidR="009A4947" w:rsidRPr="007C0044" w:rsidRDefault="009A4947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二、红黄预警系统</w:t>
      </w:r>
    </w:p>
    <w:p w14:paraId="031B27F7" w14:textId="7A5875D8" w:rsidR="009A4947" w:rsidRPr="007C0044" w:rsidRDefault="00B64BF9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可进行红黄预警操作的模块：</w:t>
      </w:r>
    </w:p>
    <w:p w14:paraId="2EADC6CC" w14:textId="54B010F7" w:rsidR="00B64BF9" w:rsidRPr="007C0044" w:rsidRDefault="00B64BF9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建设工程：</w:t>
      </w:r>
    </w:p>
    <w:p w14:paraId="246F1524" w14:textId="099C1071" w:rsidR="00B64BF9" w:rsidRPr="007C0044" w:rsidRDefault="00956F94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招标邀请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招标公告</w:t>
      </w:r>
    </w:p>
    <w:p w14:paraId="432F7DC4" w14:textId="26173C10" w:rsidR="00956F94" w:rsidRPr="007C0044" w:rsidRDefault="00956F94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招标邀请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发标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招标文件</w:t>
      </w:r>
    </w:p>
    <w:p w14:paraId="02C8430E" w14:textId="26FD3A45" w:rsidR="00956F94" w:rsidRPr="007C0044" w:rsidRDefault="00956F94" w:rsidP="00956F94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招标邀请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发标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答疑澄清文件</w:t>
      </w:r>
    </w:p>
    <w:p w14:paraId="371C1596" w14:textId="1B07547D" w:rsidR="00956F94" w:rsidRPr="007C0044" w:rsidRDefault="00956F94" w:rsidP="00956F94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招标邀请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发标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定标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中标候选人公示</w:t>
      </w:r>
    </w:p>
    <w:p w14:paraId="6EBE141B" w14:textId="11B3F2E1" w:rsidR="00956F94" w:rsidRPr="007C0044" w:rsidRDefault="00956F94" w:rsidP="00956F94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lastRenderedPageBreak/>
        <w:t>招标邀请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发标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定标</w:t>
      </w:r>
      <w:r w:rsidRPr="007C0044">
        <w:rPr>
          <w:rFonts w:ascii="华文仿宋" w:eastAsia="华文仿宋" w:hAnsi="华文仿宋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sz w:val="32"/>
          <w:szCs w:val="32"/>
        </w:rPr>
        <w:t>中标结果公告</w:t>
      </w:r>
    </w:p>
    <w:p w14:paraId="6467F253" w14:textId="6C0437DE" w:rsidR="00956F94" w:rsidRPr="007C0044" w:rsidRDefault="00956F94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1黄色预警：</w:t>
      </w:r>
    </w:p>
    <w:p w14:paraId="78E01DAE" w14:textId="3B45C8DB" w:rsidR="00956F94" w:rsidRPr="007C0044" w:rsidRDefault="00956F94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进入具体交易环节，点击预警按钮</w:t>
      </w:r>
    </w:p>
    <w:p w14:paraId="7F375724" w14:textId="4AD2262E" w:rsidR="00956F94" w:rsidRPr="007C0044" w:rsidRDefault="00956F94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6CBCF724" wp14:editId="6FDEA0F7">
            <wp:extent cx="5274310" cy="198310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F95B0" w14:textId="298D5C59" w:rsidR="00956F94" w:rsidRPr="007C0044" w:rsidRDefault="00956F94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 w:hint="eastAsia"/>
          <w:sz w:val="32"/>
          <w:szCs w:val="32"/>
        </w:rPr>
        <w:t>录入相关内容，点击【确认】按钮完成扣分操作，其中本次预警扣分会直接反馈在代理诚信得分中</w:t>
      </w:r>
    </w:p>
    <w:p w14:paraId="63BAC0B7" w14:textId="267E89E4" w:rsidR="00956F94" w:rsidRPr="007C0044" w:rsidRDefault="00956F94" w:rsidP="009A4947">
      <w:pPr>
        <w:rPr>
          <w:rFonts w:ascii="华文仿宋" w:eastAsia="华文仿宋" w:hAnsi="华文仿宋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55E982FA" wp14:editId="143D2B27">
            <wp:extent cx="5274310" cy="453136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3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CAD31" w14:textId="7F80F615" w:rsidR="008051CF" w:rsidRPr="007C0044" w:rsidRDefault="008051CF" w:rsidP="009A4947">
      <w:pPr>
        <w:rPr>
          <w:rFonts w:ascii="华文仿宋" w:eastAsia="华文仿宋" w:hAnsi="华文仿宋"/>
          <w:color w:val="FF0000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FF0000"/>
          <w:sz w:val="32"/>
          <w:szCs w:val="32"/>
        </w:rPr>
        <w:lastRenderedPageBreak/>
        <w:t>注意：黄色预警会想会员端用户发出预警消息，并且代理可通过相关环节点击查看预警及扣分明细，如下：</w:t>
      </w:r>
    </w:p>
    <w:p w14:paraId="116D8ED9" w14:textId="4342CE77" w:rsidR="008051CF" w:rsidRPr="007C0044" w:rsidRDefault="008051CF" w:rsidP="009A4947">
      <w:pPr>
        <w:rPr>
          <w:rFonts w:ascii="华文仿宋" w:eastAsia="华文仿宋" w:hAnsi="华文仿宋"/>
          <w:color w:val="FF0000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4A5D4121" wp14:editId="2F8959B2">
            <wp:extent cx="5274310" cy="869950"/>
            <wp:effectExtent l="0" t="0" r="254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78C09" w14:textId="161CE88E" w:rsidR="008051CF" w:rsidRPr="007C0044" w:rsidRDefault="008051CF" w:rsidP="009A4947">
      <w:pPr>
        <w:rPr>
          <w:rFonts w:ascii="华文仿宋" w:eastAsia="华文仿宋" w:hAnsi="华文仿宋"/>
          <w:color w:val="FF0000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FF0000"/>
          <w:sz w:val="32"/>
          <w:szCs w:val="32"/>
        </w:rPr>
        <w:t>明细：</w:t>
      </w:r>
    </w:p>
    <w:p w14:paraId="4B079348" w14:textId="6E1245FB" w:rsidR="008051CF" w:rsidRPr="007C0044" w:rsidRDefault="008051CF" w:rsidP="009A4947">
      <w:pPr>
        <w:rPr>
          <w:rFonts w:ascii="华文仿宋" w:eastAsia="华文仿宋" w:hAnsi="华文仿宋"/>
          <w:color w:val="FF0000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1FADC461" wp14:editId="49D15A45">
            <wp:extent cx="5274310" cy="303720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3A971" w14:textId="03E999BB" w:rsidR="008051CF" w:rsidRPr="007C0044" w:rsidRDefault="008051CF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2红色预警：</w:t>
      </w:r>
    </w:p>
    <w:p w14:paraId="33BB4E56" w14:textId="64E325D1" w:rsidR="008051CF" w:rsidRPr="007C0044" w:rsidRDefault="008051CF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进入对应模块后，点击预警按钮</w:t>
      </w:r>
    </w:p>
    <w:p w14:paraId="792EBE1B" w14:textId="35C95F3F" w:rsidR="008051CF" w:rsidRPr="007C0044" w:rsidRDefault="008051CF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5FCC682F" wp14:editId="7C46737C">
            <wp:extent cx="5274310" cy="198310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7CFD4" w14:textId="6AE31CFE" w:rsidR="008051CF" w:rsidRPr="007C0044" w:rsidRDefault="008051CF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明细页面，选择红色预警</w:t>
      </w:r>
    </w:p>
    <w:p w14:paraId="0184F3D4" w14:textId="25DC2FAA" w:rsidR="008051CF" w:rsidRPr="007C0044" w:rsidRDefault="008051CF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/>
          <w:noProof/>
          <w:sz w:val="32"/>
          <w:szCs w:val="32"/>
        </w:rPr>
        <w:lastRenderedPageBreak/>
        <w:drawing>
          <wp:inline distT="0" distB="0" distL="0" distR="0" wp14:anchorId="0D986904" wp14:editId="2B017EF8">
            <wp:extent cx="5047619" cy="6352381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47619" cy="6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D5C1C" w14:textId="197A77BE" w:rsidR="008051CF" w:rsidRPr="007C0044" w:rsidRDefault="008051CF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注意：红色预警在黄色预警功能的基础上，增加了标段暂停功能</w:t>
      </w:r>
      <w:r w:rsidR="006D2F8C"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，触发后产生效果及处理方式如下：</w:t>
      </w:r>
    </w:p>
    <w:p w14:paraId="0A507F08" w14:textId="22F95666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招标公告：无法新增招标文件以及后续流程，投标人无法参与报名</w:t>
      </w:r>
    </w:p>
    <w:p w14:paraId="52745AE6" w14:textId="1837515F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恢复方式：代理自行发起招标异常</w:t>
      </w:r>
      <w:r w:rsidRPr="007C0044">
        <w:rPr>
          <w:rFonts w:ascii="华文仿宋" w:eastAsia="华文仿宋" w:hAnsi="华文仿宋"/>
          <w:color w:val="000000" w:themeColor="text1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重新招标</w:t>
      </w:r>
    </w:p>
    <w:p w14:paraId="436ADFA2" w14:textId="3D8A7480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lastRenderedPageBreak/>
        <w:t>招标文件：投标人无法领取文件</w:t>
      </w:r>
    </w:p>
    <w:p w14:paraId="36693189" w14:textId="7C9E20F8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恢复方式：发布n+1次答疑澄清文件（n可以=0），或者招标异常</w:t>
      </w:r>
      <w:r w:rsidRPr="007C0044">
        <w:rPr>
          <w:rFonts w:ascii="华文仿宋" w:eastAsia="华文仿宋" w:hAnsi="华文仿宋"/>
          <w:color w:val="000000" w:themeColor="text1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重新招标</w:t>
      </w:r>
    </w:p>
    <w:p w14:paraId="74B00D83" w14:textId="2AECECD0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答疑澄清文件：投标人无法领取澄清文件</w:t>
      </w:r>
    </w:p>
    <w:p w14:paraId="5E45B483" w14:textId="157CC0C9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恢复方式：发布m+1次答疑澄清文件（m为本次答疑次数），或者招标异常</w:t>
      </w:r>
      <w:r w:rsidRPr="007C0044">
        <w:rPr>
          <w:rFonts w:ascii="华文仿宋" w:eastAsia="华文仿宋" w:hAnsi="华文仿宋"/>
          <w:color w:val="000000" w:themeColor="text1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重新招标</w:t>
      </w:r>
    </w:p>
    <w:p w14:paraId="43A3742A" w14:textId="7093DDB9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中标候选人公示：无法新增中标结果及后续流程</w:t>
      </w:r>
    </w:p>
    <w:p w14:paraId="73AE0315" w14:textId="51A2E22E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恢复方式：招标异常</w:t>
      </w:r>
      <w:r w:rsidRPr="007C0044">
        <w:rPr>
          <w:rFonts w:ascii="华文仿宋" w:eastAsia="华文仿宋" w:hAnsi="华文仿宋"/>
          <w:color w:val="000000" w:themeColor="text1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变更中标单位，修改后重新发布中标公示</w:t>
      </w:r>
    </w:p>
    <w:p w14:paraId="76A8B4D2" w14:textId="076BA967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中标结果：无法新增中标通知书及后续流程</w:t>
      </w:r>
    </w:p>
    <w:p w14:paraId="099798A8" w14:textId="5B4B490E" w:rsidR="006D2F8C" w:rsidRPr="007C0044" w:rsidRDefault="006D2F8C" w:rsidP="006D2F8C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恢复方式：招标异常</w:t>
      </w:r>
      <w:r w:rsidRPr="007C0044">
        <w:rPr>
          <w:rFonts w:ascii="华文仿宋" w:eastAsia="华文仿宋" w:hAnsi="华文仿宋"/>
          <w:color w:val="000000" w:themeColor="text1"/>
          <w:sz w:val="32"/>
          <w:szCs w:val="32"/>
        </w:rPr>
        <w:t>—</w:t>
      </w:r>
      <w:r w:rsidRPr="007C0044">
        <w:rPr>
          <w:rFonts w:ascii="华文仿宋" w:eastAsia="华文仿宋" w:hAnsi="华文仿宋" w:hint="eastAsia"/>
          <w:color w:val="000000" w:themeColor="text1"/>
          <w:sz w:val="32"/>
          <w:szCs w:val="32"/>
        </w:rPr>
        <w:t>变更中标单位，修改后重新发布中标公示</w:t>
      </w:r>
    </w:p>
    <w:bookmarkEnd w:id="0"/>
    <w:bookmarkEnd w:id="1"/>
    <w:p w14:paraId="484E942F" w14:textId="77777777" w:rsidR="006D2F8C" w:rsidRPr="007C0044" w:rsidRDefault="006D2F8C" w:rsidP="009A4947">
      <w:pPr>
        <w:rPr>
          <w:rFonts w:ascii="华文仿宋" w:eastAsia="华文仿宋" w:hAnsi="华文仿宋"/>
          <w:color w:val="000000" w:themeColor="text1"/>
          <w:sz w:val="32"/>
          <w:szCs w:val="32"/>
        </w:rPr>
      </w:pPr>
    </w:p>
    <w:sectPr w:rsidR="006D2F8C" w:rsidRPr="007C00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82507" w14:textId="77777777" w:rsidR="00D87876" w:rsidRDefault="00D87876" w:rsidP="007C0044">
      <w:r>
        <w:separator/>
      </w:r>
    </w:p>
  </w:endnote>
  <w:endnote w:type="continuationSeparator" w:id="0">
    <w:p w14:paraId="16EA7FD3" w14:textId="77777777" w:rsidR="00D87876" w:rsidRDefault="00D87876" w:rsidP="007C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4B67C" w14:textId="77777777" w:rsidR="00D87876" w:rsidRDefault="00D87876" w:rsidP="007C0044">
      <w:r>
        <w:separator/>
      </w:r>
    </w:p>
  </w:footnote>
  <w:footnote w:type="continuationSeparator" w:id="0">
    <w:p w14:paraId="4619FBB5" w14:textId="77777777" w:rsidR="00D87876" w:rsidRDefault="00D87876" w:rsidP="007C0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5C"/>
    <w:rsid w:val="00000DAE"/>
    <w:rsid w:val="000F6204"/>
    <w:rsid w:val="0023165C"/>
    <w:rsid w:val="004148BC"/>
    <w:rsid w:val="006D2F8C"/>
    <w:rsid w:val="007C0044"/>
    <w:rsid w:val="008051CF"/>
    <w:rsid w:val="00956F94"/>
    <w:rsid w:val="009A4947"/>
    <w:rsid w:val="00B64BF9"/>
    <w:rsid w:val="00D8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AAB9D"/>
  <w15:chartTrackingRefBased/>
  <w15:docId w15:val="{B114516F-6AB7-49BF-A192-39C2132B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00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00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00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374</Words>
  <Characters>387</Characters>
  <Application>Microsoft Office Word</Application>
  <DocSecurity>0</DocSecurity>
  <Lines>35</Lines>
  <Paragraphs>38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baibo</dc:creator>
  <cp:keywords/>
  <dc:description/>
  <cp:lastModifiedBy>li baibo</cp:lastModifiedBy>
  <cp:revision>7</cp:revision>
  <dcterms:created xsi:type="dcterms:W3CDTF">2019-11-20T04:15:00Z</dcterms:created>
  <dcterms:modified xsi:type="dcterms:W3CDTF">2019-12-29T06:21:00Z</dcterms:modified>
</cp:coreProperties>
</file>